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0F395F" w:rsidRPr="000F395F">
        <w:rPr>
          <w:b/>
          <w:sz w:val="28"/>
          <w:szCs w:val="28"/>
        </w:rPr>
        <w:t xml:space="preserve">решения Совета депутатов городского округа Лыткарино </w:t>
      </w:r>
    </w:p>
    <w:p w:rsidR="007B74CA" w:rsidRDefault="00D818D1" w:rsidP="00940B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818D1">
        <w:rPr>
          <w:b/>
          <w:sz w:val="28"/>
          <w:szCs w:val="28"/>
        </w:rPr>
        <w:t xml:space="preserve">О внесении изменений в Положение о </w:t>
      </w:r>
      <w:r w:rsidR="00940B0F">
        <w:rPr>
          <w:b/>
          <w:sz w:val="28"/>
          <w:szCs w:val="28"/>
        </w:rPr>
        <w:t>бюджете и бюджетном процессе в городском округе Лыткарино Московской области, утвержденное решением Совета депутатов города Лыткарино от 01.11.2012 № 309/35</w:t>
      </w:r>
      <w:r w:rsidRPr="00D818D1">
        <w:rPr>
          <w:b/>
          <w:sz w:val="28"/>
          <w:szCs w:val="28"/>
        </w:rPr>
        <w:t>»</w:t>
      </w:r>
      <w:r w:rsidR="000F395F" w:rsidRPr="000F395F">
        <w:rPr>
          <w:b/>
          <w:sz w:val="28"/>
          <w:szCs w:val="28"/>
        </w:rPr>
        <w:t>.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40B0F">
        <w:rPr>
          <w:sz w:val="28"/>
          <w:szCs w:val="28"/>
        </w:rPr>
        <w:t>2</w:t>
      </w:r>
      <w:r w:rsidR="00D818D1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D818D1">
        <w:rPr>
          <w:sz w:val="28"/>
          <w:szCs w:val="28"/>
        </w:rPr>
        <w:t>5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0F395F" w:rsidRDefault="00940B0F" w:rsidP="00940B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Pr="00940B0F">
        <w:rPr>
          <w:sz w:val="28"/>
          <w:szCs w:val="28"/>
        </w:rPr>
        <w:t>решения Совета депутатов городского округа Лыткарино «О внесении изменений в 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 309/35»</w:t>
      </w:r>
      <w:r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940B0F" w:rsidRDefault="00940B0F" w:rsidP="00940B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940B0F">
        <w:rPr>
          <w:sz w:val="28"/>
          <w:szCs w:val="28"/>
        </w:rPr>
        <w:t>Положение о бюджете и бюджетном процессе в городском округе Лыткарино Московской области</w:t>
      </w:r>
      <w:r>
        <w:rPr>
          <w:sz w:val="28"/>
          <w:szCs w:val="28"/>
        </w:rPr>
        <w:t xml:space="preserve">, разработаны в соответствии с пунктом 8 статьи 217 Бюджетного кодекса РФ и соответствуют нормам </w:t>
      </w:r>
      <w:r w:rsidR="008C6D32">
        <w:rPr>
          <w:sz w:val="28"/>
          <w:szCs w:val="28"/>
        </w:rPr>
        <w:t>бюджетного законодательства.</w:t>
      </w:r>
    </w:p>
    <w:p w:rsidR="008C6D32" w:rsidRDefault="008C6D32" w:rsidP="00940B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для исключения двойного толкования предлагаемых к внесению изменений, Контрольно-счетная палата городского округа Лыткарино рекомендует изложить абзац 2 пункта 2.1. статьи 35 в следующей редакции:</w:t>
      </w:r>
    </w:p>
    <w:p w:rsidR="008C6D32" w:rsidRPr="000F395F" w:rsidRDefault="008C6D32" w:rsidP="00940B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перераспределение бюджетных ассигнований с сохранением целевой направленности расходов между разделами, подразделами, целевыми статьями и видами расходов бюджета в пределах средств бюджета, предусмотренных главному распорядителю средств бюджета, а также между главными распорядителями бюджетных средств.</w:t>
      </w:r>
    </w:p>
    <w:p w:rsidR="00136AFE" w:rsidRPr="008C38A3" w:rsidRDefault="00220472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0F395F">
        <w:rPr>
          <w:sz w:val="28"/>
          <w:szCs w:val="28"/>
        </w:rPr>
        <w:t>3</w:t>
      </w:r>
      <w:r w:rsidR="008C6D32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8C6D32">
        <w:rPr>
          <w:sz w:val="28"/>
          <w:szCs w:val="28"/>
        </w:rPr>
        <w:t>25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D818D1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C52EC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4064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F486-4D05-4044-A9FE-EF237050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2021-09-28T09:30:00Z</cp:lastPrinted>
  <dcterms:created xsi:type="dcterms:W3CDTF">2022-05-17T11:46:00Z</dcterms:created>
  <dcterms:modified xsi:type="dcterms:W3CDTF">2022-06-29T11:29:00Z</dcterms:modified>
</cp:coreProperties>
</file>